
<file path=[Content_Types].xml><?xml version="1.0" encoding="utf-8"?>
<Types xmlns="http://schemas.openxmlformats.org/package/2006/content-types">
  <Default Extension="rels" ContentType="application/vnd.openxmlformats-package.relationships+xml"/>
  <Default Extension="xml" ContentType="application/xml"/>
  <Default Extension="docx" ContentType="application/vnd.openxmlformats-officedocument.wordprocessingml.document.mai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CA-18700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證券商兼營顧問業務</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配合期貨顧問事業管理規則第23條修正，刪除(三)4.文字。</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pPr>
            <w:r>
              <w:rPr>
                <w:rFonts w:hint="eastAsia" w:ascii="新細明體" w:hAnsi="新細明體" w:eastAsia="新細明體" w:cs="新細明體"/>
              </w:rPr>
              <w:t>公司經主管機關之許可，得兼營證券投資顧問或期貨顧問業務(以下簡稱顧問業務)，並以主管機關核可之種類範圍為限。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rPr>
              <w:t>公司經主管機關之許可，得兼營證券投資顧問或期貨顧問業務(以下簡稱顧問業務)，並以主管機關核可之種類範圍為限。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證券商兼營顧問業務整體規範：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證券商兼營顧問業務整體規範：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顧問業務部門所提供之研究報告，該部門以外之人員不得參與擬訂或複核。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顧問業務部門所提供之研究報告，該部門以外之人員不得參與擬訂或複核。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顧問業務部門所提供之研究報告經公開後於市場交易時間開始二小時內，除主管機關另有規定外，顧問業務部門以外之部門及人員不得進行該研究報告所建議標的之買賣；另於市場交易時間內公開之研究報告，應於次一營業日市場交易時間開始二小時後方得進行買賣。至於顧問業務部門本身之人員非依規定不得洩漏對客戶所提供之研究分析建議及對研究報告所建議標的之買賣等規範，應依證券或期貨顧問事業之相關規範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顧問業務部門所提供之研究報告經公開後於市場交易時間開始二小時內，除主管機關另有規定外，顧問業務部門以外之部門及人員不得進行該研究報告所建議標的之買賣；另於市場交易時間內公開之研究報告，應於次一營業日市場交易時間開始二小時後方得進行買賣。至於顧問業務部門本身之人員非依規定不得洩漏對客戶所提供之研究分析建議及對研究報告所建議標的之買賣等規範，應依證券或期貨顧問事業之相關規範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顧問業務部門之人員報酬或獎勵，不應與其他部門績效直接關聯。</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顧問業務部門之人員報酬或獎勵，不應與其他部門績效直接關聯。</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承銷部門承銷有價證券，自與公開發行公司簽訂輔導契約至終止輔導，或與上市上櫃公司簽訂承銷契約至繳款截止日之期間，顧問業務部門不得建議該有價證券及其相關之衍生性金融商品之買賣。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承銷部門承銷有價證券，自與公開發行公司簽訂輔導契約至終止輔導，或與上市上櫃公司簽訂承銷契約至繳款截止日之期間，顧問業務部門不得建議該有價證券及其相關之衍生性金融商品之買賣。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承銷部門因包銷所取得之有價證券，依規定未處理完竣前，顧問業務部門不得建議買進該有價證券。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承銷部門因包銷所取得之有價證券，依規定未處理完竣前，顧問業務部門不得建議買進該有價證券。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經紀部門轉介客戶及佣金計算作業：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經紀部門轉介客戶及佣金計算作業：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經紀部門轉介客戶至顧問業務部門，應避免發生利益衝突之情形，公司並應訂定轉介客戶之作業程序。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經紀部門轉介客戶至顧問業務部門，應避免發生利益衝突之情形，公司並應訂定轉介客戶之作業程序。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經紀部門轉介客戶至顧問業務部門，或顧問業務部門客戶至經紀部門委託買賣，部門間如涉有佣金或類似佣金性質之獎金分配情形者，公司應訂定佣金計算標準。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經紀部門轉介客戶至顧問業務部門，或顧問業務部門客戶至經紀部門委託買賣，部門間如涉有佣金或類似佣金性質之獎金分配情形者，公司應訂定佣金計算標準。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兼營顧問業務，除應依照證券投資顧問事業有關場地及設備之規範或全國期貨商業同業公會聯合會訂定之場地及設備標準規定辦理外，總公司之顧問業務部門應具備獨立並與其他部門區隔之辦公處所，並應建立門禁管制及留存進出紀錄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兼營顧問業務，除應依照證券投資顧問事業有關場地及設備之規範或全國期貨商業同業公會聯合會訂定之場地及設備標準規定辦理外，總公司之顧問業務部門應具備獨立並與其他部門區隔之辦公處所，並應建立門禁管制及留存進出紀錄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證券商兼營證券投資顧問業務規範：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證券商兼營證券投資顧問業務規範：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兼營證券投資顧問業務者，總公司應設獨立專責顧問部門，並指派專責部門主管及業務人員辦理之。顧問部門之設置，應依業務規模、經營情況及內部控制之管理需要，配置適足、適任之經理人及業務人員，除內部稽核人員得由證券商部門登記之內部稽核人員兼任外，應符合「證券投資顧問事業負責人與業務人員管理規則」規定之資格條件及登錄規定，並不得辦理專責顧問部門以外之業務或由非登錄專責顧問部門之業務人員兼辦；分公司部分，得由總公司指派專責顧問部門符合資格條件之業務人員至分公司從事證券投資顧問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兼營證券投資顧問業務者，總公司應設獨立專責顧問部門，並指派專責部門主管及業務人員辦理之。顧問部門之設置，應依業務規模、經營情況及內部控制之管理需要，配置適足、適任之經理人及業務人員，除內部稽核人員得由證券商部門登記之內部稽核人員兼任外，應符合「證券投資顧問事業負責人與業務人員管理規則」規定之資格條件及登錄規定，並不得辦理專責顧問部門以外之業務或由非登錄專責顧問部門之業務人員兼辦；分公司部分，得由總公司指派專責顧問部門符合資格條件之業務人員至分公司從事證券投資顧問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兼營證券投資顧問業務，應載明資訊交互運用、廣告、公開舉辦投資分析活動或提供研究分析報告等經營業務有關之利益衝突防範及風險區隔作業（註：公司應於本項內部控制制度列出上開作業內容，或另訂附屬於內部控制制度之辦法規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兼營證券投資顧問業務，應載明資訊交互運用、廣告、公開舉辦投資分析活動或提供研究分析報告等經營業務有關之利益衝突防範及風險區隔作業（註：公司應於本項內部控制制度列出上開作業內容，或另訂附屬於內部控制制度之辦法規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兼營證券投資顧問業務時，關於該業務部門之業務與人員之管理，除證券交易法或其他法律另有規定外，並應依「證券投資顧問事業管理規則」第十三條及「證券投資顧問事業負責人與業務人員管理規則」第二十條所定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兼營證券投資顧問業務時，關於該業務部門之業務與人員之管理，除證券交易法或其他法律另有規定外，並應依「證券投資顧問事業管理規則」第十三條及「證券投資顧問事業負責人與業務人員管理規則」第二十條所定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證券商兼營期貨顧問業務規範：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證券商兼營期貨顧問業務規範：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經營期貨顧問業務者，總公司應設置獨立專責顧問部門，並指派專責部門主管及業務員辦理之；分公司應指派專責之業務員辦理之。前開主管及業務員，除內部稽核人員得由證券商部門登記之內部稽核人員兼任外，應符合「期貨顧問事業管理規則」第二十條及第二十一條規定之資格條件，且不得辦理登記範圍以外之業務或由其他業務員兼辦。上開辦理期貨顧問業務之專責部門應依事業規模、業務情況及內部控制之管理需要，配置適足及適任之經理人及業務員，並應符合「期貨顧問事業管理規則」規定之資格條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經營期貨顧問業務者，總公司應設置獨立專責顧問部門，並指派專責部門主管及業務員辦理之；分公司應指派專責之業務員辦理之。前開主管及業務員，除內部稽核人員得由證券商部門登記之內部稽核人員兼任外，應符合「期貨顧問事業管理規則」第二十條及第二十一條規定之資格條件，且不得辦理登記範圍以外之業務或由其他業務員兼辦。上開辦理期貨顧問業務之專責部門應依事業規模、業務情況及內部控制之管理需要，配置適足及適任之經理人及業務員，並應符合「期貨顧問事業管理規則」規定之資格條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兼營期貨顧問業務，應載明資訊交互運用、廣告、舉辦講習或提供研究分析意見或建議等經營業務有關之利益衝突防範及風險區隔事項（註：公司應於本項內部控制制度列出上開事項內容，或另訂附屬於內部控制制度之辦法規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兼營期貨顧問業務，應載明資訊交互運用、廣告、舉辦講習或提供研究分析意見或建議等經營業務有關之利益衝突防範及風險區隔事項（註：公司應於本項內部控制制度列出上開事項內容，或另訂附屬於內部控制制度之辦法規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兼營期貨顧問業務提供期貨交易分析意見或建議時，應作成交易分析報告，載明分析基礎及根據。期貨交易分析意見或建議及相關資訊，於提供予委任人（客戶）之前不得提供或傳遞予期貨顧問業務部門以外之其他業務部門，且不得以其他業務部門之資訊或意見為其分析基礎及根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兼營期貨顧問業務提供期貨交易分析意見或建議時，應作成交易分析報告，載明分析基礎及根據。期貨交易分析意見或建議及相關資訊，於提供予委任人（客戶）之前不得提供或傳遞予期貨顧問業務部門以外之其他業務部門，且不得以其他業務部門之資訊或意見為其分析基礎及根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pPr>
            <w:r>
              <w:rPr>
                <w:rFonts w:hint="eastAsia" w:ascii="新細明體" w:hAnsi="新細明體" w:eastAsia="新細明體" w:cs="新細明體"/>
                <w:b/>
                <w:color w:val="FF0000 "/>
              </w:rPr>
              <w:t>(刪除)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4.</w:t>
            </w:r>
            <w:r>
              <w:rPr>
                <w:rFonts w:hint="eastAsia" w:ascii="新細明體" w:hAnsi="新細明體" w:eastAsia="新細明體" w:cs="新細明體"/>
                <w:b/>
                <w:color w:val="FF0000 "/>
              </w:rPr>
              <w:t>公司兼營期貨顧問業務之內部稽核人員由證券商部門登記之內部稽核人員兼任者，該兼任之內部稽核人員，於初任及離職滿二年再任者，得於到職後三個月內參加職前訓練，不受「期貨顧問事業管理規則」第二十七條準用「期貨商負責人及業務員管理規則」第十一條第二項有關應於執行業務前半年內參加職前訓練規定之限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其他規範：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其他規範：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公司同時兼營證券投資顧問及期貨顧問業務時，總公司僅需設一個專責顧問部門，且登記顧問部門之業務人員，符合相關資格條件者，得同時辦理證券投資顧問及期貨顧問業務。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公司同時兼營證券投資顧問及期貨顧問業務時，總公司僅需設一個專責顧問部門，且登記顧問部門之業務人員，符合相關資格條件者，得同時辦理證券投資顧問及期貨顧問業務。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兼營證券投資顧問業務，並經核准辦理財富管理業務時，依規定應設置之專責顧問部門得與財富管理業務部門合併。上開辦理財富管理業務之人員，於符合投顧人員管理規則規定之資格條件並向中華民國證券投資信託暨顧問商業同業公會完成登錄後，得兼辦證券投資顧問業務。</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兼營證券投資顧問業務，並經核准辦理財富管理業務時，依規定應設置之專責顧問部門得與財富管理業務部門合併。上開辦理財富管理業務之人員，於符合投顧人員管理規則規定之資格條件並向中華民國證券投資信託暨顧問商業同業公會完成登錄後，得兼辦證券投資顧問業務。</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p>
      <w:r>
        <w:br w:type="page"/>
      </w:r>
    </w:p>
    <w:altChunk r:id="altChunkId_0"/>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aFChunk" Target="/word/afchunk2.docx" Id="altChunkId_0"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